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253A" w14:textId="77777777" w:rsidR="00C80C63" w:rsidRDefault="00C80C63" w:rsidP="00CE2761">
      <w:pPr>
        <w:rPr>
          <w:rFonts w:ascii="Verdana" w:hAnsi="Verdana"/>
          <w:b/>
          <w:sz w:val="24"/>
          <w:szCs w:val="24"/>
        </w:rPr>
      </w:pPr>
    </w:p>
    <w:p w14:paraId="2F95099F" w14:textId="77777777" w:rsidR="00C80C63" w:rsidRDefault="00C80C63" w:rsidP="003A3E09">
      <w:pPr>
        <w:jc w:val="center"/>
        <w:rPr>
          <w:rFonts w:ascii="Verdana" w:hAnsi="Verdana"/>
          <w:b/>
          <w:sz w:val="24"/>
          <w:szCs w:val="24"/>
        </w:rPr>
      </w:pPr>
    </w:p>
    <w:p w14:paraId="039EF3CE" w14:textId="26FC3ED2" w:rsidR="00C80C63" w:rsidRDefault="00C80C63" w:rsidP="00CE2761">
      <w:pPr>
        <w:spacing w:after="0" w:line="240" w:lineRule="auto"/>
        <w:jc w:val="center"/>
        <w:rPr>
          <w:rFonts w:ascii="Verdana" w:hAnsi="Verdana" w:cs="TimesNewRomanPS-BoldItalicMT"/>
          <w:b/>
          <w:bCs/>
          <w:iCs/>
          <w:sz w:val="24"/>
          <w:szCs w:val="24"/>
        </w:rPr>
      </w:pPr>
      <w:r>
        <w:rPr>
          <w:rFonts w:ascii="Verdana" w:hAnsi="Verdana"/>
          <w:b/>
          <w:sz w:val="24"/>
        </w:rPr>
        <w:t>Annexe Z</w:t>
      </w:r>
      <w:r w:rsidR="00926937">
        <w:rPr>
          <w:rFonts w:ascii="Verdana" w:hAnsi="Verdana"/>
          <w:b/>
          <w:sz w:val="24"/>
        </w:rPr>
        <w:t>A</w:t>
      </w:r>
    </w:p>
    <w:p w14:paraId="03FBCD8D" w14:textId="77777777" w:rsidR="00C80C63" w:rsidRPr="006D699E" w:rsidRDefault="00C80C63" w:rsidP="00C80C63">
      <w:pPr>
        <w:autoSpaceDE w:val="0"/>
        <w:autoSpaceDN w:val="0"/>
        <w:adjustRightInd w:val="0"/>
        <w:spacing w:after="0" w:line="240" w:lineRule="auto"/>
        <w:jc w:val="center"/>
        <w:rPr>
          <w:rFonts w:ascii="Verdana" w:hAnsi="Verdana" w:cs="TimesNewRomanPS-BoldItalicMT"/>
          <w:bCs/>
          <w:iCs/>
          <w:sz w:val="24"/>
          <w:szCs w:val="24"/>
        </w:rPr>
      </w:pPr>
      <w:r>
        <w:rPr>
          <w:rFonts w:ascii="Verdana" w:hAnsi="Verdana"/>
          <w:sz w:val="24"/>
        </w:rPr>
        <w:t>(informative)</w:t>
      </w:r>
    </w:p>
    <w:p w14:paraId="6E095809" w14:textId="77777777" w:rsidR="00C80C63" w:rsidRDefault="00C80C63" w:rsidP="00C80C63">
      <w:pPr>
        <w:autoSpaceDE w:val="0"/>
        <w:autoSpaceDN w:val="0"/>
        <w:adjustRightInd w:val="0"/>
        <w:spacing w:after="0" w:line="240" w:lineRule="auto"/>
        <w:jc w:val="center"/>
        <w:rPr>
          <w:rFonts w:ascii="Verdana" w:hAnsi="Verdana" w:cs="TimesNewRomanPS-BoldItalicMT"/>
          <w:b/>
          <w:bCs/>
          <w:iCs/>
          <w:sz w:val="24"/>
          <w:szCs w:val="24"/>
          <w:lang w:eastAsia="en-GB"/>
        </w:rPr>
      </w:pPr>
    </w:p>
    <w:p w14:paraId="77834BD9" w14:textId="77777777" w:rsidR="00C80C63" w:rsidRPr="009371EC" w:rsidRDefault="00C80C63" w:rsidP="00C80C63">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b/>
          <w:sz w:val="24"/>
        </w:rPr>
        <w:t>Relation entre la présente Norme européenne et les exigences générales en matière de sécurité et de performances concernées du Règlement (UE) 2017/746</w:t>
      </w:r>
    </w:p>
    <w:p w14:paraId="0301CA55" w14:textId="77777777" w:rsidR="00C80C63" w:rsidRPr="009371EC" w:rsidRDefault="00C80C63" w:rsidP="00C80C63">
      <w:pPr>
        <w:autoSpaceDE w:val="0"/>
        <w:autoSpaceDN w:val="0"/>
        <w:adjustRightInd w:val="0"/>
        <w:spacing w:after="0" w:line="240" w:lineRule="auto"/>
        <w:jc w:val="both"/>
        <w:rPr>
          <w:rFonts w:ascii="Verdana" w:hAnsi="Verdana" w:cs="TimesNewRomanPS-BoldItalicMT"/>
          <w:b/>
          <w:bCs/>
          <w:iCs/>
          <w:sz w:val="24"/>
          <w:szCs w:val="24"/>
          <w:lang w:eastAsia="en-GB"/>
        </w:rPr>
      </w:pPr>
    </w:p>
    <w:p w14:paraId="76BBD426" w14:textId="4F0DFD47" w:rsidR="00C80C63" w:rsidRPr="00CD0604" w:rsidRDefault="00C80C63" w:rsidP="00B33BAF">
      <w:pPr>
        <w:autoSpaceDE w:val="0"/>
        <w:autoSpaceDN w:val="0"/>
        <w:adjustRightInd w:val="0"/>
        <w:spacing w:after="0" w:line="240" w:lineRule="auto"/>
        <w:jc w:val="both"/>
        <w:rPr>
          <w:rFonts w:ascii="Verdana" w:hAnsi="Verdana" w:cs="TimesNewRomanPS-ItalicMT"/>
          <w:iCs/>
          <w:sz w:val="24"/>
          <w:szCs w:val="24"/>
        </w:rPr>
      </w:pPr>
      <w:r>
        <w:rPr>
          <w:rFonts w:ascii="Verdana" w:hAnsi="Verdana"/>
          <w:sz w:val="24"/>
        </w:rPr>
        <w:t xml:space="preserve">La présente Norme européenne a été élaborée en réponse à la demande de normalisation M/575 de la Commission européenne afin d’offrir un moyen volontaire de se conformer aux exigences générales en matière de sécurité et de performances du Règlement (UE) 2017/746 du 5 avril 2017 relatif aux dispositifs médicaux de diagnostic </w:t>
      </w:r>
      <w:r>
        <w:rPr>
          <w:rFonts w:ascii="Verdana" w:hAnsi="Verdana"/>
          <w:i/>
          <w:iCs/>
          <w:sz w:val="24"/>
        </w:rPr>
        <w:t>in</w:t>
      </w:r>
      <w:r>
        <w:rPr>
          <w:rFonts w:ascii="Verdana" w:hAnsi="Verdana"/>
          <w:sz w:val="24"/>
        </w:rPr>
        <w:t xml:space="preserve"> </w:t>
      </w:r>
      <w:r>
        <w:rPr>
          <w:rFonts w:ascii="Verdana" w:hAnsi="Verdana"/>
          <w:i/>
          <w:iCs/>
          <w:sz w:val="24"/>
        </w:rPr>
        <w:t>vitro</w:t>
      </w:r>
      <w:r>
        <w:rPr>
          <w:rFonts w:ascii="Verdana" w:hAnsi="Verdana"/>
          <w:sz w:val="24"/>
        </w:rPr>
        <w:t xml:space="preserve"> [JO L 117], et aux exigences afférentes aux systèmes ou aux processus, y compris celles relatives aux systèmes de management de la qualité, à la gestion des risques, aux systèmes de surveillance du post-marché, aux études de performances, aux preuves cliniques ou au suivi des performances après commercialisation.</w:t>
      </w:r>
    </w:p>
    <w:p w14:paraId="1EC6BBA2" w14:textId="77777777" w:rsidR="00C80C63" w:rsidRPr="00BF1D22" w:rsidRDefault="00C80C63" w:rsidP="00C80C63">
      <w:pPr>
        <w:autoSpaceDE w:val="0"/>
        <w:autoSpaceDN w:val="0"/>
        <w:adjustRightInd w:val="0"/>
        <w:spacing w:after="0" w:line="240" w:lineRule="auto"/>
        <w:jc w:val="both"/>
        <w:rPr>
          <w:rFonts w:ascii="Verdana" w:hAnsi="Verdana" w:cs="TimesNewRomanPS-ItalicMT"/>
          <w:iCs/>
          <w:sz w:val="24"/>
          <w:szCs w:val="24"/>
          <w:lang w:eastAsia="en-GB"/>
        </w:rPr>
      </w:pPr>
    </w:p>
    <w:p w14:paraId="4918E9C7" w14:textId="4752D9F9" w:rsidR="00C80C63" w:rsidRDefault="00C80C63" w:rsidP="00C80C63">
      <w:pPr>
        <w:autoSpaceDE w:val="0"/>
        <w:autoSpaceDN w:val="0"/>
        <w:adjustRightInd w:val="0"/>
        <w:spacing w:after="0" w:line="240" w:lineRule="auto"/>
        <w:jc w:val="both"/>
        <w:rPr>
          <w:rFonts w:ascii="Verdana" w:hAnsi="Verdana" w:cs="TimesNewRomanPS-ItalicMT"/>
          <w:iCs/>
          <w:sz w:val="24"/>
          <w:szCs w:val="24"/>
        </w:rPr>
      </w:pPr>
      <w:r>
        <w:rPr>
          <w:rFonts w:ascii="Verdana" w:hAnsi="Verdana"/>
          <w:sz w:val="24"/>
        </w:rPr>
        <w:t>Une fois la présente norme citée au Journal officiel de l’Union européenne au titre dudit Règlement, la conformité aux articles normatifs de cette norme indiqués dans le Tableau Z</w:t>
      </w:r>
      <w:r w:rsidR="00926937">
        <w:rPr>
          <w:rFonts w:ascii="Verdana" w:hAnsi="Verdana"/>
          <w:sz w:val="24"/>
        </w:rPr>
        <w:t>A</w:t>
      </w:r>
      <w:r>
        <w:rPr>
          <w:rFonts w:ascii="Verdana" w:hAnsi="Verdana"/>
          <w:sz w:val="24"/>
        </w:rPr>
        <w:t>.1 confère, dans les limites du domaine d’application de la norme, présomption de conformité aux exigences générales en matière de sécurité et de performances correspondantes dudit Règlement et de la réglementation AELE associée.</w:t>
      </w:r>
    </w:p>
    <w:p w14:paraId="759CA828" w14:textId="15EBF5CD" w:rsidR="007258F3" w:rsidRDefault="007258F3" w:rsidP="00C80C63">
      <w:pPr>
        <w:autoSpaceDE w:val="0"/>
        <w:autoSpaceDN w:val="0"/>
        <w:adjustRightInd w:val="0"/>
        <w:spacing w:after="0" w:line="240" w:lineRule="auto"/>
        <w:jc w:val="both"/>
        <w:rPr>
          <w:rFonts w:ascii="Verdana" w:hAnsi="Verdana" w:cs="TimesNewRomanPS-ItalicMT"/>
          <w:iCs/>
          <w:sz w:val="24"/>
          <w:szCs w:val="24"/>
          <w:lang w:eastAsia="en-GB"/>
        </w:rPr>
      </w:pPr>
    </w:p>
    <w:p w14:paraId="35458F6E" w14:textId="4A6EA4FB" w:rsidR="00B30A44" w:rsidRPr="00B30A44" w:rsidRDefault="00B30A44" w:rsidP="00B30A44">
      <w:pPr>
        <w:autoSpaceDE w:val="0"/>
        <w:autoSpaceDN w:val="0"/>
        <w:adjustRightInd w:val="0"/>
        <w:spacing w:after="0" w:line="240" w:lineRule="auto"/>
        <w:jc w:val="both"/>
        <w:rPr>
          <w:rFonts w:ascii="Verdana" w:hAnsi="Verdana" w:cs="TimesNewRomanPS-ItalicMT"/>
          <w:iCs/>
          <w:sz w:val="24"/>
          <w:szCs w:val="24"/>
        </w:rPr>
      </w:pPr>
      <w:r>
        <w:rPr>
          <w:rFonts w:ascii="Verdana" w:hAnsi="Verdana"/>
          <w:sz w:val="24"/>
        </w:rPr>
        <w:t>Lorsqu’une définition donnée dans la présente norme diffère d’une définition du même terme contenue dans le Règlement (UE) 2017/746, les différences doivent êt</w:t>
      </w:r>
      <w:r w:rsidR="00FB7E99">
        <w:rPr>
          <w:rFonts w:ascii="Verdana" w:hAnsi="Verdana"/>
          <w:sz w:val="24"/>
        </w:rPr>
        <w:t xml:space="preserve">re indiquées dans l’Annexe </w:t>
      </w:r>
      <w:r w:rsidR="00487DCC">
        <w:rPr>
          <w:rFonts w:ascii="Verdana" w:hAnsi="Verdana"/>
          <w:sz w:val="24"/>
        </w:rPr>
        <w:t xml:space="preserve">Z. </w:t>
      </w:r>
      <w:r>
        <w:rPr>
          <w:rFonts w:ascii="Verdana" w:hAnsi="Verdana"/>
          <w:sz w:val="24"/>
        </w:rPr>
        <w:t>Pour l’application de la présente norme à l’appui des exigences du Règlement (UE) 2017/746, les définitions établies dans ledit Règlement prévalent.</w:t>
      </w:r>
    </w:p>
    <w:p w14:paraId="37631366" w14:textId="77777777" w:rsidR="00B30A44" w:rsidRDefault="00B30A44" w:rsidP="007258F3">
      <w:pPr>
        <w:autoSpaceDE w:val="0"/>
        <w:autoSpaceDN w:val="0"/>
        <w:adjustRightInd w:val="0"/>
        <w:spacing w:after="0" w:line="240" w:lineRule="auto"/>
        <w:jc w:val="both"/>
        <w:rPr>
          <w:rFonts w:ascii="Verdana" w:hAnsi="Verdana" w:cs="TimesNewRomanPS-ItalicMT"/>
          <w:iCs/>
          <w:sz w:val="24"/>
          <w:szCs w:val="24"/>
          <w:lang w:eastAsia="en-GB"/>
        </w:rPr>
      </w:pPr>
    </w:p>
    <w:p w14:paraId="49890966" w14:textId="74223C96" w:rsidR="006210B3" w:rsidRPr="00FB7E99" w:rsidRDefault="006210B3" w:rsidP="006210B3">
      <w:pPr>
        <w:autoSpaceDE w:val="0"/>
        <w:autoSpaceDN w:val="0"/>
        <w:adjustRightInd w:val="0"/>
        <w:spacing w:after="0" w:line="240" w:lineRule="auto"/>
        <w:jc w:val="both"/>
        <w:rPr>
          <w:rFonts w:ascii="Verdana" w:hAnsi="Verdana" w:cs="TimesNewRomanPS-ItalicMT"/>
          <w:iCs/>
          <w:sz w:val="24"/>
          <w:szCs w:val="24"/>
        </w:rPr>
      </w:pPr>
      <w:r w:rsidRPr="00FB7E99">
        <w:rPr>
          <w:rFonts w:ascii="Verdana" w:hAnsi="Verdana"/>
          <w:bCs/>
          <w:sz w:val="24"/>
          <w:szCs w:val="24"/>
          <w:highlight w:val="darkCyan"/>
        </w:rPr>
        <w:t>Lorsque la Norme européenne est l</w:t>
      </w:r>
      <w:r w:rsidR="00723F42">
        <w:rPr>
          <w:rFonts w:ascii="Verdana" w:hAnsi="Verdana"/>
          <w:bCs/>
          <w:sz w:val="24"/>
          <w:szCs w:val="24"/>
          <w:highlight w:val="darkCyan"/>
        </w:rPr>
        <w:t>’</w:t>
      </w:r>
      <w:r w:rsidRPr="00FB7E99">
        <w:rPr>
          <w:rFonts w:ascii="Verdana" w:hAnsi="Verdana"/>
          <w:bCs/>
          <w:sz w:val="24"/>
          <w:szCs w:val="24"/>
          <w:highlight w:val="darkCyan"/>
        </w:rPr>
        <w:t>a</w:t>
      </w:r>
      <w:r w:rsidR="00723F42">
        <w:rPr>
          <w:rFonts w:ascii="Verdana" w:hAnsi="Verdana"/>
          <w:bCs/>
          <w:sz w:val="24"/>
          <w:szCs w:val="24"/>
          <w:highlight w:val="darkCyan"/>
        </w:rPr>
        <w:t>doption</w:t>
      </w:r>
      <w:r w:rsidRPr="00FB7E99">
        <w:rPr>
          <w:rFonts w:ascii="Verdana" w:hAnsi="Verdana"/>
          <w:bCs/>
          <w:sz w:val="24"/>
          <w:szCs w:val="24"/>
          <w:highlight w:val="darkCyan"/>
        </w:rPr>
        <w:t xml:space="preserve"> d’une Norme internationale, le domaine d’application de cette norme peut différer du champ d’application du Règlement européen dont elle relève.</w:t>
      </w:r>
      <w:r w:rsidRPr="00FB7E99">
        <w:rPr>
          <w:rFonts w:ascii="Verdana" w:hAnsi="Verdana"/>
          <w:sz w:val="24"/>
          <w:szCs w:val="24"/>
          <w:highlight w:val="darkCyan"/>
        </w:rPr>
        <w:t xml:space="preserve"> </w:t>
      </w:r>
      <w:r w:rsidRPr="00FB7E99">
        <w:rPr>
          <w:rFonts w:ascii="Verdana" w:hAnsi="Verdana"/>
          <w:bCs/>
          <w:sz w:val="24"/>
          <w:szCs w:val="24"/>
          <w:highlight w:val="darkCyan"/>
        </w:rPr>
        <w:t>Étant donné que le champ d’application des exigences r</w:t>
      </w:r>
      <w:r w:rsidR="00126A98">
        <w:rPr>
          <w:rFonts w:ascii="Verdana" w:hAnsi="Verdana"/>
          <w:bCs/>
          <w:sz w:val="24"/>
          <w:szCs w:val="24"/>
          <w:highlight w:val="darkCyan"/>
        </w:rPr>
        <w:t>é</w:t>
      </w:r>
      <w:r w:rsidRPr="00FB7E99">
        <w:rPr>
          <w:rFonts w:ascii="Verdana" w:hAnsi="Verdana"/>
          <w:bCs/>
          <w:sz w:val="24"/>
          <w:szCs w:val="24"/>
          <w:highlight w:val="darkCyan"/>
        </w:rPr>
        <w:t xml:space="preserve">glementaires en vigueur varie d’un pays à l’autre et d’une région à l’autre, la norme peut uniquement répondre aux exigences réglementaires européennes dans les limites du champ d’application du Règlement (UE) 2017/746 relatif aux dispositifs médicaux de diagnostic </w:t>
      </w:r>
      <w:r w:rsidRPr="00FB7E99">
        <w:rPr>
          <w:rFonts w:ascii="Verdana" w:hAnsi="Verdana"/>
          <w:bCs/>
          <w:i/>
          <w:iCs/>
          <w:sz w:val="24"/>
          <w:szCs w:val="24"/>
          <w:highlight w:val="darkCyan"/>
        </w:rPr>
        <w:t>in vitro</w:t>
      </w:r>
      <w:r w:rsidRPr="00FB7E99">
        <w:rPr>
          <w:rFonts w:ascii="Verdana" w:hAnsi="Verdana"/>
          <w:sz w:val="24"/>
          <w:szCs w:val="24"/>
          <w:highlight w:val="darkCyan"/>
        </w:rPr>
        <w:t>.</w:t>
      </w:r>
    </w:p>
    <w:p w14:paraId="18418946" w14:textId="77777777" w:rsidR="007258F3" w:rsidRDefault="007258F3" w:rsidP="00C80C63">
      <w:pPr>
        <w:autoSpaceDE w:val="0"/>
        <w:autoSpaceDN w:val="0"/>
        <w:adjustRightInd w:val="0"/>
        <w:spacing w:after="0" w:line="240" w:lineRule="auto"/>
        <w:jc w:val="both"/>
        <w:rPr>
          <w:rFonts w:ascii="Verdana" w:hAnsi="Verdana" w:cs="TimesNewRomanPS-ItalicMT"/>
          <w:iCs/>
          <w:sz w:val="24"/>
          <w:szCs w:val="24"/>
          <w:lang w:eastAsia="en-GB"/>
        </w:rPr>
      </w:pPr>
    </w:p>
    <w:p w14:paraId="0FDEFD4A" w14:textId="77777777" w:rsidR="00E92A86" w:rsidRDefault="00E92A86" w:rsidP="00C80C63">
      <w:pPr>
        <w:autoSpaceDE w:val="0"/>
        <w:autoSpaceDN w:val="0"/>
        <w:adjustRightInd w:val="0"/>
        <w:spacing w:after="0" w:line="240" w:lineRule="auto"/>
        <w:jc w:val="both"/>
        <w:rPr>
          <w:rFonts w:ascii="Verdana" w:hAnsi="Verdana" w:cs="TimesNewRomanPS-ItalicMT"/>
          <w:iCs/>
          <w:sz w:val="24"/>
          <w:szCs w:val="24"/>
          <w:lang w:eastAsia="en-GB"/>
        </w:rPr>
      </w:pPr>
    </w:p>
    <w:p w14:paraId="6DF93F2B" w14:textId="55A9B5CF" w:rsidR="00C80C63" w:rsidRPr="00E92A86" w:rsidRDefault="00C80C63" w:rsidP="00C80C63">
      <w:pPr>
        <w:spacing w:after="0" w:line="240" w:lineRule="auto"/>
        <w:jc w:val="both"/>
        <w:rPr>
          <w:rFonts w:ascii="Verdana" w:hAnsi="Verdana" w:cs="Arial"/>
          <w:sz w:val="20"/>
          <w:szCs w:val="20"/>
        </w:rPr>
      </w:pPr>
      <w:r w:rsidRPr="00E92A86">
        <w:rPr>
          <w:rFonts w:ascii="Verdana" w:hAnsi="Verdana"/>
          <w:sz w:val="20"/>
          <w:szCs w:val="20"/>
        </w:rPr>
        <w:t>NOTE 1</w:t>
      </w:r>
      <w:r w:rsidRPr="00E92A86">
        <w:rPr>
          <w:rFonts w:ascii="Verdana" w:hAnsi="Verdana"/>
          <w:sz w:val="20"/>
          <w:szCs w:val="20"/>
        </w:rPr>
        <w:tab/>
        <w:t xml:space="preserve">Lorsqu’un article de la présente norme fait référence au processus de gestion des risques, le processus de gestion des risques doit être en conformité avec le Règlement (UE) 2017/746. Cela signifie que les risques doivent être réduits « autant que possible », « </w:t>
      </w:r>
      <w:r w:rsidRPr="00E92A86">
        <w:rPr>
          <w:rFonts w:ascii="Verdana" w:hAnsi="Verdana"/>
          <w:sz w:val="20"/>
          <w:szCs w:val="20"/>
        </w:rPr>
        <w:lastRenderedPageBreak/>
        <w:t xml:space="preserve">au niveau le plus bas raisonnablement possible », « au niveau le plus bas possible », « autant que possible et dans la mesure appropriée », être « supprimés ou réduits autant que possible », « éliminés ou réduits autant que possible », « évités » ou « réduits le plus possible », selon la formulation de l’exigence générale en matière de sécurité et </w:t>
      </w:r>
      <w:r w:rsidR="00E92A86">
        <w:rPr>
          <w:rFonts w:ascii="Verdana" w:hAnsi="Verdana"/>
          <w:sz w:val="20"/>
          <w:szCs w:val="20"/>
        </w:rPr>
        <w:t>de performances correspondante.</w:t>
      </w:r>
    </w:p>
    <w:p w14:paraId="0DF94B76" w14:textId="77777777" w:rsidR="00C80C63" w:rsidRPr="00E92A86" w:rsidRDefault="00C80C63" w:rsidP="00C80C63">
      <w:pPr>
        <w:spacing w:after="0" w:line="240" w:lineRule="auto"/>
        <w:rPr>
          <w:rFonts w:ascii="Verdana" w:hAnsi="Verdana" w:cs="Arial"/>
          <w:sz w:val="20"/>
          <w:szCs w:val="20"/>
        </w:rPr>
      </w:pPr>
    </w:p>
    <w:p w14:paraId="2FD0A4A4" w14:textId="77777777" w:rsidR="00C80C63" w:rsidRPr="00E92A86" w:rsidRDefault="00C80C63" w:rsidP="00C80C63">
      <w:pPr>
        <w:spacing w:after="0" w:line="240" w:lineRule="auto"/>
        <w:jc w:val="both"/>
        <w:rPr>
          <w:rFonts w:ascii="Verdana" w:hAnsi="Verdana" w:cs="Arial"/>
          <w:sz w:val="20"/>
          <w:szCs w:val="20"/>
        </w:rPr>
      </w:pPr>
      <w:r w:rsidRPr="00E92A86">
        <w:rPr>
          <w:rFonts w:ascii="Verdana" w:hAnsi="Verdana"/>
          <w:sz w:val="20"/>
          <w:szCs w:val="20"/>
        </w:rPr>
        <w:t>NOTE 2</w:t>
      </w:r>
      <w:r w:rsidRPr="00E92A86">
        <w:rPr>
          <w:rFonts w:ascii="Verdana" w:hAnsi="Verdana"/>
          <w:sz w:val="20"/>
          <w:szCs w:val="20"/>
        </w:rPr>
        <w:tab/>
        <w:t xml:space="preserve">La politique du fabricant en matière de </w:t>
      </w:r>
      <w:r w:rsidRPr="00E92A86">
        <w:rPr>
          <w:rFonts w:ascii="Verdana" w:hAnsi="Verdana"/>
          <w:b/>
          <w:bCs/>
          <w:sz w:val="20"/>
          <w:szCs w:val="20"/>
        </w:rPr>
        <w:t>risque acceptable</w:t>
      </w:r>
      <w:r w:rsidRPr="00E92A86">
        <w:rPr>
          <w:rFonts w:ascii="Verdana" w:hAnsi="Verdana"/>
          <w:sz w:val="20"/>
          <w:szCs w:val="20"/>
        </w:rPr>
        <w:t xml:space="preserve"> doit être en conformité avec les exigences générales en matière de sécurité et de performances 1, 2, 3, 4, 5, 8, 10, 11, 13, 15, 16, 17, 18 et 19 du Règlement.</w:t>
      </w:r>
    </w:p>
    <w:p w14:paraId="7248F8F3" w14:textId="77777777" w:rsidR="00C80C63" w:rsidRPr="00E92A86" w:rsidRDefault="00C80C63" w:rsidP="00C80C63">
      <w:pPr>
        <w:spacing w:after="0" w:line="240" w:lineRule="auto"/>
        <w:rPr>
          <w:rFonts w:ascii="Verdana" w:hAnsi="Verdana" w:cs="Arial"/>
          <w:sz w:val="20"/>
          <w:szCs w:val="20"/>
        </w:rPr>
      </w:pPr>
    </w:p>
    <w:p w14:paraId="553A53B9" w14:textId="18CB2771" w:rsidR="00C80C63" w:rsidRPr="00E92A86" w:rsidRDefault="00C80C63" w:rsidP="00C80C63">
      <w:pPr>
        <w:spacing w:after="0" w:line="240" w:lineRule="auto"/>
        <w:jc w:val="both"/>
        <w:rPr>
          <w:rFonts w:ascii="Verdana" w:hAnsi="Verdana" w:cs="Arial"/>
          <w:sz w:val="20"/>
          <w:szCs w:val="20"/>
        </w:rPr>
      </w:pPr>
      <w:r w:rsidRPr="00E92A86">
        <w:rPr>
          <w:rFonts w:ascii="Verdana" w:hAnsi="Verdana"/>
          <w:sz w:val="20"/>
          <w:szCs w:val="20"/>
        </w:rPr>
        <w:t>NOTE 3</w:t>
      </w:r>
      <w:r w:rsidRPr="00E92A86">
        <w:rPr>
          <w:rFonts w:ascii="Verdana" w:hAnsi="Verdana"/>
          <w:sz w:val="20"/>
          <w:szCs w:val="20"/>
        </w:rPr>
        <w:tab/>
        <w:t>Si une exigence générale en matière de sécurité et de performances ne figure pas dans le Tableau Z</w:t>
      </w:r>
      <w:r w:rsidR="00926937">
        <w:rPr>
          <w:rFonts w:ascii="Verdana" w:hAnsi="Verdana"/>
          <w:sz w:val="20"/>
          <w:szCs w:val="20"/>
        </w:rPr>
        <w:t>A</w:t>
      </w:r>
      <w:r w:rsidRPr="00E92A86">
        <w:rPr>
          <w:rFonts w:ascii="Verdana" w:hAnsi="Verdana"/>
          <w:sz w:val="20"/>
          <w:szCs w:val="20"/>
        </w:rPr>
        <w:t xml:space="preserve">.1, cela signifie qu’elle n’est pas </w:t>
      </w:r>
      <w:r w:rsidR="00723F42">
        <w:rPr>
          <w:rFonts w:ascii="Verdana" w:hAnsi="Verdana"/>
          <w:sz w:val="20"/>
          <w:szCs w:val="20"/>
        </w:rPr>
        <w:t>traitée</w:t>
      </w:r>
      <w:r w:rsidRPr="00E92A86">
        <w:rPr>
          <w:rFonts w:ascii="Verdana" w:hAnsi="Verdana"/>
          <w:sz w:val="20"/>
          <w:szCs w:val="20"/>
        </w:rPr>
        <w:t xml:space="preserve"> par la présente Norme européenne.</w:t>
      </w:r>
    </w:p>
    <w:p w14:paraId="39AABD32" w14:textId="77777777" w:rsidR="00C80C63" w:rsidRPr="00BF1D22" w:rsidRDefault="00C80C63" w:rsidP="00C80C63">
      <w:pPr>
        <w:autoSpaceDE w:val="0"/>
        <w:autoSpaceDN w:val="0"/>
        <w:adjustRightInd w:val="0"/>
        <w:spacing w:after="0" w:line="240" w:lineRule="auto"/>
        <w:jc w:val="both"/>
        <w:rPr>
          <w:rFonts w:ascii="Verdana" w:hAnsi="Verdana" w:cs="TimesNewRomanPS-ItalicMT"/>
          <w:iCs/>
          <w:sz w:val="24"/>
          <w:szCs w:val="24"/>
          <w:lang w:eastAsia="en-GB"/>
        </w:rPr>
      </w:pPr>
    </w:p>
    <w:p w14:paraId="6628EA99" w14:textId="49FC7D8F" w:rsidR="00C80C63" w:rsidRPr="00BF1D22" w:rsidRDefault="00C80C63" w:rsidP="00C80C63">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b/>
          <w:sz w:val="24"/>
        </w:rPr>
        <w:t>Tableau Z</w:t>
      </w:r>
      <w:r w:rsidR="00926937">
        <w:rPr>
          <w:rFonts w:ascii="Verdana" w:hAnsi="Verdana"/>
          <w:b/>
          <w:sz w:val="24"/>
        </w:rPr>
        <w:t>A</w:t>
      </w:r>
      <w:r>
        <w:rPr>
          <w:rFonts w:ascii="Verdana" w:hAnsi="Verdana"/>
          <w:b/>
          <w:sz w:val="24"/>
        </w:rPr>
        <w:t>.1</w:t>
      </w:r>
      <w:r w:rsidR="00553CFC">
        <w:rPr>
          <w:rFonts w:ascii="Verdana" w:hAnsi="Verdana"/>
          <w:b/>
          <w:sz w:val="24"/>
        </w:rPr>
        <w:t> </w:t>
      </w:r>
      <w:r>
        <w:rPr>
          <w:rFonts w:ascii="Verdana" w:hAnsi="Verdana"/>
          <w:b/>
          <w:sz w:val="24"/>
        </w:rPr>
        <w:t>–</w:t>
      </w:r>
      <w:r w:rsidR="00553CFC">
        <w:rPr>
          <w:rFonts w:ascii="Verdana" w:hAnsi="Verdana"/>
          <w:b/>
          <w:sz w:val="24"/>
        </w:rPr>
        <w:t> </w:t>
      </w:r>
      <w:r>
        <w:rPr>
          <w:rFonts w:ascii="Verdana" w:hAnsi="Verdana"/>
          <w:b/>
          <w:sz w:val="24"/>
        </w:rPr>
        <w:t>Correspondance entre la présente Norme européenne et l’Annexe I du Règlement (UE) 2017/746 [JO L 117</w:t>
      </w:r>
      <w:bookmarkStart w:id="0" w:name="_Hlk84949997"/>
      <w:r>
        <w:rPr>
          <w:rFonts w:ascii="Verdana" w:hAnsi="Verdana"/>
          <w:b/>
          <w:sz w:val="24"/>
        </w:rPr>
        <w:t>]</w:t>
      </w:r>
      <w:bookmarkStart w:id="1" w:name="_Hlk78380455"/>
      <w:r>
        <w:rPr>
          <w:rFonts w:ascii="Verdana" w:hAnsi="Verdana"/>
          <w:sz w:val="24"/>
        </w:rPr>
        <w:t xml:space="preserve"> ainsi que les exigences afférentes aux systèmes ou aux processus, y compris celles relatives aux </w:t>
      </w:r>
      <w:bookmarkEnd w:id="1"/>
      <w:r w:rsidR="00232B41">
        <w:rPr>
          <w:rFonts w:ascii="Verdana" w:hAnsi="Verdana"/>
          <w:sz w:val="24"/>
        </w:rPr>
        <w:t>systèmes de management de la qualité, à la gestion des risques, aux systèmes de surveillance du post-marché, aux études de performances, aux preuves cliniques ou au suivi des performances après commercialisation</w:t>
      </w:r>
    </w:p>
    <w:p w14:paraId="4ABCDBB4" w14:textId="77777777" w:rsidR="00C80C63" w:rsidRPr="00BF1D22" w:rsidRDefault="00C80C63" w:rsidP="00C80C63">
      <w:pPr>
        <w:autoSpaceDE w:val="0"/>
        <w:autoSpaceDN w:val="0"/>
        <w:adjustRightInd w:val="0"/>
        <w:spacing w:after="0" w:line="240" w:lineRule="auto"/>
        <w:rPr>
          <w:rFonts w:ascii="Verdana" w:hAnsi="Verdana" w:cs="TimesNewRomanPS-BoldItalicMT"/>
          <w:b/>
          <w:bCs/>
          <w:i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151"/>
        <w:gridCol w:w="3121"/>
      </w:tblGrid>
      <w:tr w:rsidR="00C80C63" w:rsidRPr="000F3834" w14:paraId="06ED832B" w14:textId="77777777" w:rsidTr="00A75BC1">
        <w:tc>
          <w:tcPr>
            <w:tcW w:w="3192" w:type="dxa"/>
            <w:shd w:val="clear" w:color="auto" w:fill="auto"/>
            <w:vAlign w:val="center"/>
          </w:tcPr>
          <w:bookmarkEnd w:id="0"/>
          <w:p w14:paraId="4A45665A" w14:textId="77777777" w:rsidR="00C80C63" w:rsidRPr="003A3E09" w:rsidRDefault="00C80C63" w:rsidP="00A75BC1">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sz w:val="24"/>
              </w:rPr>
              <w:t>Exigences générales en matière de sécurité et de performances du Règlement (UE) 2017/746</w:t>
            </w:r>
          </w:p>
        </w:tc>
        <w:tc>
          <w:tcPr>
            <w:tcW w:w="3192" w:type="dxa"/>
            <w:shd w:val="clear" w:color="auto" w:fill="auto"/>
            <w:vAlign w:val="center"/>
          </w:tcPr>
          <w:p w14:paraId="63745BFE" w14:textId="77777777" w:rsidR="00C80C63" w:rsidRPr="000F3834" w:rsidRDefault="00C80C63" w:rsidP="00A75BC1">
            <w:pPr>
              <w:autoSpaceDE w:val="0"/>
              <w:autoSpaceDN w:val="0"/>
              <w:adjustRightInd w:val="0"/>
              <w:spacing w:after="0" w:line="240" w:lineRule="auto"/>
              <w:jc w:val="center"/>
              <w:rPr>
                <w:rFonts w:ascii="Verdana" w:hAnsi="Verdana" w:cs="TimesNewRomanPS-ItalicMT"/>
                <w:iCs/>
                <w:sz w:val="24"/>
                <w:szCs w:val="24"/>
              </w:rPr>
            </w:pPr>
            <w:r>
              <w:rPr>
                <w:rFonts w:ascii="Verdana" w:hAnsi="Verdana"/>
                <w:sz w:val="24"/>
              </w:rPr>
              <w:t>Articles/paragraphes</w:t>
            </w:r>
          </w:p>
          <w:p w14:paraId="01F9FC30" w14:textId="77777777" w:rsidR="00C80C63" w:rsidRPr="000F3834" w:rsidRDefault="00C80C63" w:rsidP="00A75BC1">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sz w:val="24"/>
              </w:rPr>
              <w:t>de la présente Norme européenne</w:t>
            </w:r>
          </w:p>
        </w:tc>
        <w:tc>
          <w:tcPr>
            <w:tcW w:w="3192" w:type="dxa"/>
            <w:shd w:val="clear" w:color="auto" w:fill="auto"/>
            <w:vAlign w:val="center"/>
          </w:tcPr>
          <w:p w14:paraId="6E4C79E7" w14:textId="77777777" w:rsidR="00C80C63" w:rsidRPr="000F3834" w:rsidRDefault="00C80C63" w:rsidP="00A75BC1">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sz w:val="24"/>
              </w:rPr>
              <w:t>Remarques/Notes</w:t>
            </w:r>
          </w:p>
        </w:tc>
      </w:tr>
      <w:tr w:rsidR="00C80C63" w:rsidRPr="000F3834" w14:paraId="59D75F48" w14:textId="77777777" w:rsidTr="00A75BC1">
        <w:tc>
          <w:tcPr>
            <w:tcW w:w="3192" w:type="dxa"/>
            <w:shd w:val="clear" w:color="auto" w:fill="auto"/>
          </w:tcPr>
          <w:p w14:paraId="60CDB08E" w14:textId="77777777" w:rsidR="00C80C63" w:rsidRDefault="00C80C63" w:rsidP="00A75BC1">
            <w:pPr>
              <w:pStyle w:val="Tabletext9"/>
              <w:spacing w:before="0" w:after="0" w:line="240" w:lineRule="auto"/>
              <w:jc w:val="left"/>
              <w:rPr>
                <w:rFonts w:ascii="Verdana" w:hAnsi="Verdana"/>
                <w:i/>
                <w:szCs w:val="18"/>
              </w:rPr>
            </w:pPr>
            <w:r>
              <w:rPr>
                <w:rFonts w:ascii="Verdana" w:hAnsi="Verdana"/>
                <w:i/>
              </w:rPr>
              <w:t>[Une seule exigence générale en matière de sécurité et de performances par ligne]</w:t>
            </w:r>
          </w:p>
          <w:p w14:paraId="4DFB30AB" w14:textId="77777777" w:rsidR="00C80C63" w:rsidRPr="000F3834" w:rsidRDefault="00C80C63" w:rsidP="00A75BC1">
            <w:pPr>
              <w:autoSpaceDE w:val="0"/>
              <w:autoSpaceDN w:val="0"/>
              <w:adjustRightInd w:val="0"/>
              <w:spacing w:after="0" w:line="240" w:lineRule="auto"/>
              <w:rPr>
                <w:rFonts w:ascii="Verdana" w:hAnsi="Verdana" w:cs="TimesNewRomanPS-BoldItalicMT"/>
                <w:b/>
                <w:bCs/>
                <w:iCs/>
                <w:sz w:val="24"/>
                <w:szCs w:val="24"/>
              </w:rPr>
            </w:pPr>
            <w:r>
              <w:rPr>
                <w:rFonts w:ascii="Verdana" w:hAnsi="Verdana"/>
                <w:i/>
                <w:sz w:val="18"/>
              </w:rPr>
              <w:t>[Lignes classées dans l’ordre numérique des exigences générales en matière de sécurité et de performances]</w:t>
            </w:r>
          </w:p>
        </w:tc>
        <w:tc>
          <w:tcPr>
            <w:tcW w:w="3192" w:type="dxa"/>
            <w:shd w:val="clear" w:color="auto" w:fill="auto"/>
          </w:tcPr>
          <w:p w14:paraId="3886FE57" w14:textId="77777777" w:rsidR="00C80C63" w:rsidRPr="000F3834" w:rsidRDefault="00C80C63" w:rsidP="00A75BC1">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2DD830DD" w14:textId="39D64308" w:rsidR="00C80C63" w:rsidRPr="00932D62" w:rsidRDefault="00C80C63" w:rsidP="009070B3">
            <w:pPr>
              <w:autoSpaceDE w:val="0"/>
              <w:autoSpaceDN w:val="0"/>
              <w:adjustRightInd w:val="0"/>
              <w:spacing w:after="0" w:line="240" w:lineRule="auto"/>
              <w:rPr>
                <w:rFonts w:ascii="Verdana" w:hAnsi="Verdana" w:cs="TimesNewRomanPS-BoldItalicMT"/>
                <w:b/>
                <w:bCs/>
                <w:iCs/>
                <w:sz w:val="18"/>
                <w:szCs w:val="18"/>
              </w:rPr>
            </w:pPr>
            <w:r>
              <w:rPr>
                <w:rFonts w:ascii="Verdana" w:hAnsi="Verdana"/>
                <w:i/>
                <w:sz w:val="18"/>
              </w:rPr>
              <w:t>[</w:t>
            </w:r>
            <w:r w:rsidR="009070B3">
              <w:rPr>
                <w:rFonts w:ascii="Verdana" w:hAnsi="Verdana"/>
                <w:i/>
                <w:sz w:val="18"/>
              </w:rPr>
              <w:t>À</w:t>
            </w:r>
            <w:r>
              <w:rPr>
                <w:rFonts w:ascii="Verdana" w:hAnsi="Verdana"/>
                <w:i/>
                <w:sz w:val="18"/>
              </w:rPr>
              <w:t xml:space="preserve"> remplir en explicitant la manière dont est couverte l’exigence générale en matière de sécurité et de performances.]</w:t>
            </w:r>
          </w:p>
        </w:tc>
      </w:tr>
      <w:tr w:rsidR="00C80C63" w:rsidRPr="000F3834" w14:paraId="29F1EB48" w14:textId="77777777" w:rsidTr="00A75BC1">
        <w:tc>
          <w:tcPr>
            <w:tcW w:w="3192" w:type="dxa"/>
            <w:shd w:val="clear" w:color="auto" w:fill="auto"/>
          </w:tcPr>
          <w:p w14:paraId="366F348F" w14:textId="77777777" w:rsidR="00C80C63" w:rsidRPr="000F3834" w:rsidRDefault="00C80C63" w:rsidP="00A75BC1">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63401EE6" w14:textId="77777777" w:rsidR="00C80C63" w:rsidRPr="000F3834" w:rsidRDefault="00C80C63" w:rsidP="00A75BC1">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2DEE4C4D" w14:textId="77777777" w:rsidR="00C80C63" w:rsidRPr="000F3834" w:rsidRDefault="00C80C63" w:rsidP="00A75BC1">
            <w:pPr>
              <w:autoSpaceDE w:val="0"/>
              <w:autoSpaceDN w:val="0"/>
              <w:adjustRightInd w:val="0"/>
              <w:spacing w:after="0" w:line="240" w:lineRule="auto"/>
              <w:rPr>
                <w:rFonts w:ascii="Verdana" w:hAnsi="Verdana" w:cs="TimesNewRomanPS-BoldItalicMT"/>
                <w:b/>
                <w:bCs/>
                <w:iCs/>
                <w:sz w:val="24"/>
                <w:szCs w:val="24"/>
                <w:lang w:eastAsia="en-GB"/>
              </w:rPr>
            </w:pPr>
          </w:p>
        </w:tc>
      </w:tr>
    </w:tbl>
    <w:p w14:paraId="40DC03AB" w14:textId="77777777" w:rsidR="00C80C63" w:rsidRPr="00BF1D22" w:rsidRDefault="00C80C63" w:rsidP="00C80C63">
      <w:pPr>
        <w:autoSpaceDE w:val="0"/>
        <w:autoSpaceDN w:val="0"/>
        <w:adjustRightInd w:val="0"/>
        <w:spacing w:after="0" w:line="240" w:lineRule="auto"/>
        <w:rPr>
          <w:rFonts w:ascii="Verdana" w:hAnsi="Verdana" w:cs="TimesNewRomanPS-ItalicMT"/>
          <w:iCs/>
          <w:sz w:val="24"/>
          <w:szCs w:val="24"/>
          <w:lang w:eastAsia="en-GB"/>
        </w:rPr>
      </w:pPr>
    </w:p>
    <w:p w14:paraId="5385A125" w14:textId="16E93429" w:rsidR="00C80C63" w:rsidRPr="00E92A86" w:rsidRDefault="00C80C63" w:rsidP="00C80C63">
      <w:pPr>
        <w:autoSpaceDE w:val="0"/>
        <w:autoSpaceDN w:val="0"/>
        <w:adjustRightInd w:val="0"/>
        <w:rPr>
          <w:rFonts w:ascii="Verdana" w:hAnsi="Verdana" w:cs="TimesNewRomanPS-ItalicMT"/>
          <w:iCs/>
          <w:sz w:val="20"/>
          <w:szCs w:val="20"/>
          <w:highlight w:val="yellow"/>
        </w:rPr>
      </w:pPr>
      <w:r w:rsidRPr="00E92A86">
        <w:rPr>
          <w:rFonts w:ascii="Verdana" w:hAnsi="Verdana"/>
          <w:sz w:val="20"/>
          <w:szCs w:val="20"/>
          <w:highlight w:val="yellow"/>
        </w:rPr>
        <w:t xml:space="preserve">[NOTE à l'intention du rédacteur, </w:t>
      </w:r>
      <w:r w:rsidR="009070B3">
        <w:rPr>
          <w:rFonts w:ascii="Verdana" w:hAnsi="Verdana"/>
          <w:sz w:val="20"/>
          <w:szCs w:val="20"/>
          <w:highlight w:val="yellow"/>
        </w:rPr>
        <w:t>à supprimer avant publication :</w:t>
      </w:r>
    </w:p>
    <w:p w14:paraId="1C2EEC34" w14:textId="16A0D68D" w:rsidR="00C80C63" w:rsidRPr="003B78FA" w:rsidRDefault="00C80C63" w:rsidP="00B10323">
      <w:pPr>
        <w:autoSpaceDE w:val="0"/>
        <w:autoSpaceDN w:val="0"/>
        <w:adjustRightInd w:val="0"/>
        <w:rPr>
          <w:rFonts w:ascii="Verdana" w:hAnsi="Verdana"/>
        </w:rPr>
      </w:pPr>
      <w:r w:rsidRPr="00E92A86">
        <w:rPr>
          <w:rFonts w:ascii="Verdana" w:hAnsi="Verdana"/>
          <w:sz w:val="20"/>
          <w:szCs w:val="20"/>
          <w:highlight w:val="yellow"/>
        </w:rPr>
        <w:t>Ce tableau doit être utilisé pour déclarer de façon détaillée une correspondance entre l’exigence générale en matière de sécurité et de performances et les articles/paragraphes de la norme. Le tableau contiendra autant de lignes que nécessaire).]</w:t>
      </w:r>
      <w:r w:rsidR="00B10323">
        <w:rPr>
          <w:rFonts w:ascii="Verdana" w:hAnsi="Verdana"/>
          <w:sz w:val="20"/>
          <w:szCs w:val="20"/>
        </w:rPr>
        <w:br/>
      </w:r>
      <w:r w:rsidR="00B10323">
        <w:rPr>
          <w:rFonts w:ascii="Verdana" w:hAnsi="Verdana"/>
          <w:sz w:val="20"/>
          <w:szCs w:val="20"/>
        </w:rPr>
        <w:br/>
      </w:r>
      <w:r>
        <w:rPr>
          <w:rFonts w:ascii="Verdana" w:hAnsi="Verdana"/>
        </w:rPr>
        <w:t>AVERTISSEMENT 1 : La présomption de conformité demeure valable tant que la référence de la présente Norme européenne figure dans la liste publiée au Journal officiel de l'Union européenne. Il est recommandé aux utilisateurs de la présente norme de consulter régulièrement la dernière liste publiée au Journal officiel de l'Union européenne.</w:t>
      </w:r>
    </w:p>
    <w:p w14:paraId="4F28593C" w14:textId="77777777" w:rsidR="00C80C63" w:rsidRPr="003B78FA" w:rsidRDefault="00C80C63" w:rsidP="00C80C63">
      <w:pPr>
        <w:autoSpaceDE w:val="0"/>
        <w:autoSpaceDN w:val="0"/>
        <w:adjustRightInd w:val="0"/>
        <w:spacing w:after="0" w:line="240" w:lineRule="auto"/>
        <w:jc w:val="both"/>
        <w:rPr>
          <w:rFonts w:ascii="Verdana" w:hAnsi="Verdana"/>
        </w:rPr>
      </w:pPr>
    </w:p>
    <w:p w14:paraId="59F44489" w14:textId="77777777" w:rsidR="00C80C63" w:rsidRDefault="00C80C63" w:rsidP="00C80C63">
      <w:pPr>
        <w:jc w:val="both"/>
        <w:rPr>
          <w:rFonts w:ascii="Verdana" w:hAnsi="Verdana"/>
        </w:rPr>
      </w:pPr>
      <w:r>
        <w:rPr>
          <w:rFonts w:ascii="Verdana" w:hAnsi="Verdana"/>
        </w:rPr>
        <w:lastRenderedPageBreak/>
        <w:t>AVERTISSEMENT 2 : D'autres dispositions de la législation de l’Union européenne peuvent être applicables aux produits relevant du domaine d'application de la présente norme.</w:t>
      </w:r>
    </w:p>
    <w:p w14:paraId="0AF631A3" w14:textId="7E000D19" w:rsidR="00C80C63" w:rsidRDefault="00C80C63" w:rsidP="00C80C63">
      <w:pPr>
        <w:jc w:val="both"/>
        <w:rPr>
          <w:rFonts w:ascii="Verdana" w:hAnsi="Verdana"/>
          <w:sz w:val="24"/>
          <w:szCs w:val="24"/>
        </w:rPr>
      </w:pPr>
      <w:r>
        <w:rPr>
          <w:rFonts w:ascii="Verdana" w:hAnsi="Verdana"/>
          <w:i/>
          <w:sz w:val="24"/>
          <w:shd w:val="clear" w:color="auto" w:fill="FF0000"/>
        </w:rPr>
        <w:t>Si cela est requis</w:t>
      </w:r>
      <w:r>
        <w:rPr>
          <w:rFonts w:ascii="Verdana" w:hAnsi="Verdana"/>
          <w:sz w:val="24"/>
        </w:rPr>
        <w:t xml:space="preserve"> Pour les dispositifs qui sont également des machines au sens de l’Article 2(a) de la Directive 2006/42/CE relative aux machines, et conformément à l’Article 1(6) du Règlement (UE) 2017/746, le Tableau Z</w:t>
      </w:r>
      <w:r w:rsidR="00926937">
        <w:rPr>
          <w:rFonts w:ascii="Verdana" w:hAnsi="Verdana"/>
          <w:sz w:val="24"/>
        </w:rPr>
        <w:t>A</w:t>
      </w:r>
      <w:r>
        <w:rPr>
          <w:rFonts w:ascii="Verdana" w:hAnsi="Verdana"/>
          <w:sz w:val="24"/>
        </w:rPr>
        <w:t>.2 suivant énumère les exigences essentielles en matière de santé et de sécurité correspondantes de la Directive 2006/42/CE relative aux machines, dans la mesure où elles sont plus spécifiques que les exigences générales en matière de sécurité et de performances définies au Chapitre II de l’Annexe I du Règlement (UE) 2017/746, ainsi que les articles correspondants de la présente Norme européenne. Cependant, le Tableau Z</w:t>
      </w:r>
      <w:r w:rsidR="00926937">
        <w:rPr>
          <w:rFonts w:ascii="Verdana" w:hAnsi="Verdana"/>
          <w:sz w:val="24"/>
        </w:rPr>
        <w:t>A</w:t>
      </w:r>
      <w:r>
        <w:rPr>
          <w:rFonts w:ascii="Verdana" w:hAnsi="Verdana"/>
          <w:sz w:val="24"/>
        </w:rPr>
        <w:t>.2 n’implique pas la citation au JOUE au titre de la Directive « Machines » et, par conséquent, ne confère pas présomption de conformité à ladite Directive.</w:t>
      </w:r>
    </w:p>
    <w:p w14:paraId="2B4A3E21" w14:textId="7F812A1F" w:rsidR="00B30A44" w:rsidRPr="00B30A44" w:rsidRDefault="00B30A44" w:rsidP="00B30A44">
      <w:pPr>
        <w:autoSpaceDE w:val="0"/>
        <w:autoSpaceDN w:val="0"/>
        <w:adjustRightInd w:val="0"/>
        <w:spacing w:after="0" w:line="240" w:lineRule="auto"/>
        <w:jc w:val="both"/>
        <w:rPr>
          <w:rFonts w:ascii="Verdana" w:hAnsi="Verdana" w:cs="TimesNewRomanPS-ItalicMT"/>
          <w:iCs/>
          <w:sz w:val="24"/>
          <w:szCs w:val="24"/>
        </w:rPr>
      </w:pPr>
      <w:r w:rsidRPr="00E92A86">
        <w:rPr>
          <w:rFonts w:ascii="Verdana" w:hAnsi="Verdana"/>
          <w:sz w:val="24"/>
        </w:rPr>
        <w:t xml:space="preserve">Lorsqu’une définition donnée dans la présente norme diffère d’une définition du même terme </w:t>
      </w:r>
      <w:r w:rsidRPr="00E92A86">
        <w:rPr>
          <w:rFonts w:ascii="Verdana" w:hAnsi="Verdana"/>
          <w:bCs/>
          <w:sz w:val="24"/>
        </w:rPr>
        <w:t>contenue dans le Règlement</w:t>
      </w:r>
      <w:r w:rsidRPr="00E92A86">
        <w:rPr>
          <w:rFonts w:ascii="Verdana" w:hAnsi="Verdana"/>
          <w:sz w:val="24"/>
        </w:rPr>
        <w:t xml:space="preserve"> (UE) 2017/746, les différences doivent être indiquées dans l’Annexe Z. Pour l’application de la présente norme à l’appui des exigences du Règlement (UE) 2017/746, les définitions établies dans ledit Règlement prévalent.</w:t>
      </w:r>
    </w:p>
    <w:p w14:paraId="716FD86E" w14:textId="2B7AE8A8" w:rsidR="00B30A44" w:rsidRDefault="00B30A44" w:rsidP="00C80C63">
      <w:pPr>
        <w:jc w:val="both"/>
        <w:rPr>
          <w:rFonts w:ascii="Verdana" w:hAnsi="Verdana"/>
          <w:sz w:val="24"/>
          <w:szCs w:val="24"/>
        </w:rPr>
      </w:pPr>
    </w:p>
    <w:p w14:paraId="15967397" w14:textId="60404395" w:rsidR="006210B3" w:rsidRPr="00E92A86" w:rsidRDefault="006210B3" w:rsidP="006210B3">
      <w:pPr>
        <w:autoSpaceDE w:val="0"/>
        <w:autoSpaceDN w:val="0"/>
        <w:adjustRightInd w:val="0"/>
        <w:spacing w:after="0" w:line="240" w:lineRule="auto"/>
        <w:jc w:val="both"/>
        <w:rPr>
          <w:rFonts w:ascii="Verdana" w:hAnsi="Verdana" w:cs="TimesNewRomanPS-ItalicMT"/>
          <w:iCs/>
          <w:sz w:val="24"/>
          <w:szCs w:val="24"/>
        </w:rPr>
      </w:pPr>
      <w:r w:rsidRPr="00E92A86">
        <w:rPr>
          <w:rFonts w:ascii="Verdana" w:hAnsi="Verdana"/>
          <w:bCs/>
          <w:sz w:val="24"/>
          <w:szCs w:val="24"/>
          <w:highlight w:val="darkCyan"/>
        </w:rPr>
        <w:t>Lorsque la Norme européenne est l</w:t>
      </w:r>
      <w:r w:rsidR="00723F42">
        <w:rPr>
          <w:rFonts w:ascii="Verdana" w:hAnsi="Verdana"/>
          <w:bCs/>
          <w:sz w:val="24"/>
          <w:szCs w:val="24"/>
          <w:highlight w:val="darkCyan"/>
        </w:rPr>
        <w:t>’</w:t>
      </w:r>
      <w:r w:rsidRPr="00E92A86">
        <w:rPr>
          <w:rFonts w:ascii="Verdana" w:hAnsi="Verdana"/>
          <w:bCs/>
          <w:sz w:val="24"/>
          <w:szCs w:val="24"/>
          <w:highlight w:val="darkCyan"/>
        </w:rPr>
        <w:t>a</w:t>
      </w:r>
      <w:r w:rsidR="00723F42">
        <w:rPr>
          <w:rFonts w:ascii="Verdana" w:hAnsi="Verdana"/>
          <w:bCs/>
          <w:sz w:val="24"/>
          <w:szCs w:val="24"/>
          <w:highlight w:val="darkCyan"/>
        </w:rPr>
        <w:t>doption</w:t>
      </w:r>
      <w:r w:rsidRPr="00E92A86">
        <w:rPr>
          <w:rFonts w:ascii="Verdana" w:hAnsi="Verdana"/>
          <w:bCs/>
          <w:sz w:val="24"/>
          <w:szCs w:val="24"/>
          <w:highlight w:val="darkCyan"/>
        </w:rPr>
        <w:t xml:space="preserve"> d’une Norme internationale, le domaine d’application de cette norme peut différer du champ d’application du Règlement européen dont elle relève.</w:t>
      </w:r>
      <w:r w:rsidRPr="00E92A86">
        <w:rPr>
          <w:rFonts w:ascii="Verdana" w:hAnsi="Verdana"/>
          <w:sz w:val="24"/>
          <w:szCs w:val="24"/>
          <w:highlight w:val="darkCyan"/>
        </w:rPr>
        <w:t xml:space="preserve"> </w:t>
      </w:r>
      <w:r w:rsidRPr="00E92A86">
        <w:rPr>
          <w:rFonts w:ascii="Verdana" w:hAnsi="Verdana"/>
          <w:bCs/>
          <w:sz w:val="24"/>
          <w:szCs w:val="24"/>
          <w:highlight w:val="darkCyan"/>
        </w:rPr>
        <w:t>Étant donné que le champ d’application des exigences r</w:t>
      </w:r>
      <w:r w:rsidR="00126A98">
        <w:rPr>
          <w:rFonts w:ascii="Verdana" w:hAnsi="Verdana"/>
          <w:bCs/>
          <w:sz w:val="24"/>
          <w:szCs w:val="24"/>
          <w:highlight w:val="darkCyan"/>
        </w:rPr>
        <w:t>é</w:t>
      </w:r>
      <w:r w:rsidRPr="00E92A86">
        <w:rPr>
          <w:rFonts w:ascii="Verdana" w:hAnsi="Verdana"/>
          <w:bCs/>
          <w:sz w:val="24"/>
          <w:szCs w:val="24"/>
          <w:highlight w:val="darkCyan"/>
        </w:rPr>
        <w:t xml:space="preserve">glementaires en vigueur varie d’un pays à l’autre et d’une région à l’autre, la norme peut uniquement répondre aux exigences réglementaires européennes dans les limites du champ d’application du Règlement (UE) 2017/746 relatif aux dispositifs médicaux de diagnostic </w:t>
      </w:r>
      <w:r w:rsidRPr="00E92A86">
        <w:rPr>
          <w:rFonts w:ascii="Verdana" w:hAnsi="Verdana"/>
          <w:bCs/>
          <w:i/>
          <w:iCs/>
          <w:sz w:val="24"/>
          <w:szCs w:val="24"/>
          <w:highlight w:val="darkCyan"/>
        </w:rPr>
        <w:t>in vitro</w:t>
      </w:r>
      <w:r w:rsidRPr="00E92A86">
        <w:rPr>
          <w:rFonts w:ascii="Verdana" w:hAnsi="Verdana"/>
          <w:sz w:val="24"/>
          <w:szCs w:val="24"/>
          <w:highlight w:val="darkCyan"/>
        </w:rPr>
        <w:t>.</w:t>
      </w:r>
    </w:p>
    <w:p w14:paraId="253C4E59" w14:textId="77777777" w:rsidR="006210B3" w:rsidRDefault="006210B3" w:rsidP="00C80C63">
      <w:pPr>
        <w:jc w:val="both"/>
        <w:rPr>
          <w:rFonts w:ascii="Verdana" w:hAnsi="Verdana"/>
          <w:sz w:val="24"/>
          <w:szCs w:val="24"/>
        </w:rPr>
      </w:pPr>
    </w:p>
    <w:p w14:paraId="21DAE2FA" w14:textId="18CBB470" w:rsidR="00C80C63" w:rsidRDefault="00C80C63" w:rsidP="00C80C63">
      <w:pPr>
        <w:jc w:val="center"/>
        <w:rPr>
          <w:rFonts w:ascii="Verdana" w:hAnsi="Verdana"/>
          <w:b/>
          <w:sz w:val="24"/>
          <w:szCs w:val="24"/>
        </w:rPr>
      </w:pPr>
      <w:r>
        <w:rPr>
          <w:rFonts w:ascii="Verdana" w:hAnsi="Verdana"/>
          <w:b/>
          <w:sz w:val="24"/>
        </w:rPr>
        <w:t>Tableau Z</w:t>
      </w:r>
      <w:r w:rsidR="00926937">
        <w:rPr>
          <w:rFonts w:ascii="Verdana" w:hAnsi="Verdana"/>
          <w:b/>
          <w:sz w:val="24"/>
        </w:rPr>
        <w:t>A</w:t>
      </w:r>
      <w:r>
        <w:rPr>
          <w:rFonts w:ascii="Verdana" w:hAnsi="Verdana"/>
          <w:b/>
          <w:sz w:val="24"/>
        </w:rPr>
        <w:t>.2</w:t>
      </w:r>
      <w:r w:rsidR="00553CFC">
        <w:rPr>
          <w:rFonts w:ascii="Verdana" w:hAnsi="Verdana"/>
          <w:b/>
          <w:sz w:val="24"/>
        </w:rPr>
        <w:t> </w:t>
      </w:r>
      <w:r>
        <w:rPr>
          <w:rFonts w:ascii="Verdana" w:hAnsi="Verdana"/>
          <w:b/>
          <w:sz w:val="24"/>
        </w:rPr>
        <w:t>–</w:t>
      </w:r>
      <w:r w:rsidR="00553CFC">
        <w:rPr>
          <w:rFonts w:ascii="Verdana" w:hAnsi="Verdana"/>
          <w:b/>
          <w:sz w:val="24"/>
        </w:rPr>
        <w:t> </w:t>
      </w:r>
      <w:r>
        <w:rPr>
          <w:rFonts w:ascii="Verdana" w:hAnsi="Verdana"/>
          <w:b/>
          <w:sz w:val="24"/>
        </w:rPr>
        <w:t>Exigences essentielles de santé et de sécurité pertinentes de la Directive 2006/42/CE relative aux machines qui sont traitées dans le présent document (conformément à l’article 1, point 6, du Règlement (UE) 2017/746)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3128"/>
        <w:gridCol w:w="3081"/>
      </w:tblGrid>
      <w:tr w:rsidR="00C80C63" w:rsidRPr="000F3834" w14:paraId="09C69E40" w14:textId="77777777" w:rsidTr="00A75BC1">
        <w:tc>
          <w:tcPr>
            <w:tcW w:w="3192" w:type="dxa"/>
            <w:shd w:val="clear" w:color="auto" w:fill="auto"/>
            <w:vAlign w:val="center"/>
          </w:tcPr>
          <w:p w14:paraId="65426377" w14:textId="77777777" w:rsidR="00C80C63" w:rsidRPr="000F3834" w:rsidRDefault="00C80C63" w:rsidP="00A75BC1">
            <w:pPr>
              <w:autoSpaceDE w:val="0"/>
              <w:autoSpaceDN w:val="0"/>
              <w:adjustRightInd w:val="0"/>
              <w:spacing w:after="0" w:line="240" w:lineRule="auto"/>
              <w:jc w:val="center"/>
              <w:rPr>
                <w:rFonts w:ascii="Verdana" w:hAnsi="Verdana" w:cs="TimesNewRomanPS-BoldItalicMT"/>
                <w:b/>
                <w:bCs/>
                <w:i/>
                <w:iCs/>
                <w:sz w:val="24"/>
                <w:szCs w:val="24"/>
              </w:rPr>
            </w:pPr>
            <w:r>
              <w:rPr>
                <w:rFonts w:ascii="Verdana" w:hAnsi="Verdana"/>
                <w:sz w:val="24"/>
              </w:rPr>
              <w:t>Exigences essentielles de santé et de sécurité de la Directive 2006/42/CE</w:t>
            </w:r>
          </w:p>
        </w:tc>
        <w:tc>
          <w:tcPr>
            <w:tcW w:w="3192" w:type="dxa"/>
            <w:shd w:val="clear" w:color="auto" w:fill="auto"/>
            <w:vAlign w:val="center"/>
          </w:tcPr>
          <w:p w14:paraId="3EEEB37B" w14:textId="77777777" w:rsidR="00C80C63" w:rsidRPr="000F3834" w:rsidRDefault="00C80C63" w:rsidP="00A75BC1">
            <w:pPr>
              <w:autoSpaceDE w:val="0"/>
              <w:autoSpaceDN w:val="0"/>
              <w:adjustRightInd w:val="0"/>
              <w:spacing w:after="0" w:line="240" w:lineRule="auto"/>
              <w:jc w:val="center"/>
              <w:rPr>
                <w:rFonts w:ascii="Verdana" w:hAnsi="Verdana" w:cs="TimesNewRomanPS-ItalicMT"/>
                <w:iCs/>
                <w:sz w:val="24"/>
                <w:szCs w:val="24"/>
              </w:rPr>
            </w:pPr>
            <w:r>
              <w:rPr>
                <w:rFonts w:ascii="Verdana" w:hAnsi="Verdana"/>
                <w:sz w:val="24"/>
              </w:rPr>
              <w:t>Articles/paragraphes</w:t>
            </w:r>
          </w:p>
          <w:p w14:paraId="66685B0F" w14:textId="77777777" w:rsidR="00C80C63" w:rsidRPr="000F3834" w:rsidRDefault="00C80C63" w:rsidP="00A75BC1">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sz w:val="24"/>
              </w:rPr>
              <w:t>de la présente Norme européenne</w:t>
            </w:r>
          </w:p>
        </w:tc>
        <w:tc>
          <w:tcPr>
            <w:tcW w:w="3192" w:type="dxa"/>
            <w:shd w:val="clear" w:color="auto" w:fill="auto"/>
            <w:vAlign w:val="center"/>
          </w:tcPr>
          <w:p w14:paraId="4C7A456F" w14:textId="77777777" w:rsidR="00C80C63" w:rsidRPr="000F3834" w:rsidRDefault="00C80C63" w:rsidP="00A75BC1">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sz w:val="24"/>
              </w:rPr>
              <w:t>Remarques/Notes</w:t>
            </w:r>
          </w:p>
        </w:tc>
      </w:tr>
      <w:tr w:rsidR="00C80C63" w:rsidRPr="000F3834" w14:paraId="5177138E" w14:textId="77777777" w:rsidTr="00A75BC1">
        <w:tc>
          <w:tcPr>
            <w:tcW w:w="3192" w:type="dxa"/>
            <w:shd w:val="clear" w:color="auto" w:fill="auto"/>
          </w:tcPr>
          <w:p w14:paraId="23B1B872" w14:textId="77777777" w:rsidR="00C80C63" w:rsidRDefault="00C80C63" w:rsidP="00A75BC1">
            <w:pPr>
              <w:pStyle w:val="Tabletext9"/>
              <w:spacing w:before="0" w:after="0" w:line="240" w:lineRule="auto"/>
              <w:jc w:val="left"/>
              <w:rPr>
                <w:rFonts w:ascii="Verdana" w:hAnsi="Verdana"/>
                <w:i/>
                <w:szCs w:val="18"/>
              </w:rPr>
            </w:pPr>
            <w:r>
              <w:rPr>
                <w:rFonts w:ascii="Verdana" w:hAnsi="Verdana"/>
                <w:i/>
              </w:rPr>
              <w:t>[Une seule exigence essentielle de santé et de sécurité par ligne]</w:t>
            </w:r>
          </w:p>
          <w:p w14:paraId="73FDB3EB" w14:textId="77777777" w:rsidR="00C80C63" w:rsidRPr="000F3834" w:rsidRDefault="00C80C63" w:rsidP="00A75BC1">
            <w:pPr>
              <w:autoSpaceDE w:val="0"/>
              <w:autoSpaceDN w:val="0"/>
              <w:adjustRightInd w:val="0"/>
              <w:spacing w:after="0" w:line="240" w:lineRule="auto"/>
              <w:rPr>
                <w:rFonts w:ascii="Verdana" w:hAnsi="Verdana" w:cs="TimesNewRomanPS-BoldItalicMT"/>
                <w:b/>
                <w:bCs/>
                <w:iCs/>
                <w:sz w:val="24"/>
                <w:szCs w:val="24"/>
              </w:rPr>
            </w:pPr>
            <w:r>
              <w:rPr>
                <w:rFonts w:ascii="Verdana" w:hAnsi="Verdana"/>
                <w:i/>
                <w:sz w:val="18"/>
              </w:rPr>
              <w:lastRenderedPageBreak/>
              <w:t>[Lignes classées dans l’ordre numérique des exigences essentielles de santé et de sécurité]</w:t>
            </w:r>
          </w:p>
        </w:tc>
        <w:tc>
          <w:tcPr>
            <w:tcW w:w="3192" w:type="dxa"/>
            <w:shd w:val="clear" w:color="auto" w:fill="auto"/>
          </w:tcPr>
          <w:p w14:paraId="66EC3BA6" w14:textId="77777777" w:rsidR="00C80C63" w:rsidRPr="000F3834" w:rsidRDefault="00C80C63" w:rsidP="00A75BC1">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0FB9441F" w14:textId="7F05D898" w:rsidR="00C80C63" w:rsidRPr="00932D62" w:rsidRDefault="00C80C63" w:rsidP="009070B3">
            <w:pPr>
              <w:autoSpaceDE w:val="0"/>
              <w:autoSpaceDN w:val="0"/>
              <w:adjustRightInd w:val="0"/>
              <w:spacing w:after="0" w:line="240" w:lineRule="auto"/>
              <w:rPr>
                <w:rFonts w:ascii="Verdana" w:hAnsi="Verdana" w:cs="TimesNewRomanPS-BoldItalicMT"/>
                <w:b/>
                <w:bCs/>
                <w:iCs/>
                <w:sz w:val="18"/>
                <w:szCs w:val="18"/>
              </w:rPr>
            </w:pPr>
            <w:r>
              <w:rPr>
                <w:rFonts w:ascii="Verdana" w:hAnsi="Verdana"/>
                <w:i/>
                <w:sz w:val="18"/>
              </w:rPr>
              <w:t>[</w:t>
            </w:r>
            <w:r w:rsidR="009070B3">
              <w:rPr>
                <w:rFonts w:ascii="Verdana" w:hAnsi="Verdana"/>
                <w:i/>
                <w:sz w:val="18"/>
              </w:rPr>
              <w:t>À</w:t>
            </w:r>
            <w:r>
              <w:rPr>
                <w:rFonts w:ascii="Verdana" w:hAnsi="Verdana"/>
                <w:i/>
                <w:sz w:val="18"/>
              </w:rPr>
              <w:t xml:space="preserve"> remplir en explicitant la manière dont est couverte l’exigence essentielle de santé et de sécurité.]</w:t>
            </w:r>
          </w:p>
        </w:tc>
      </w:tr>
      <w:tr w:rsidR="00C80C63" w:rsidRPr="000F3834" w14:paraId="11F24E95" w14:textId="77777777" w:rsidTr="00A75BC1">
        <w:tc>
          <w:tcPr>
            <w:tcW w:w="3192" w:type="dxa"/>
            <w:shd w:val="clear" w:color="auto" w:fill="auto"/>
          </w:tcPr>
          <w:p w14:paraId="60361490" w14:textId="77777777" w:rsidR="00C80C63" w:rsidRPr="000F3834" w:rsidRDefault="00C80C63" w:rsidP="00A75BC1">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15BFBA52" w14:textId="77777777" w:rsidR="00C80C63" w:rsidRPr="000F3834" w:rsidRDefault="00C80C63" w:rsidP="00A75BC1">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775BA5BE" w14:textId="77777777" w:rsidR="00C80C63" w:rsidRPr="000F3834" w:rsidRDefault="00C80C63" w:rsidP="00A75BC1">
            <w:pPr>
              <w:autoSpaceDE w:val="0"/>
              <w:autoSpaceDN w:val="0"/>
              <w:adjustRightInd w:val="0"/>
              <w:spacing w:after="0" w:line="240" w:lineRule="auto"/>
              <w:rPr>
                <w:rFonts w:ascii="Verdana" w:hAnsi="Verdana" w:cs="TimesNewRomanPS-BoldItalicMT"/>
                <w:b/>
                <w:bCs/>
                <w:iCs/>
                <w:sz w:val="24"/>
                <w:szCs w:val="24"/>
                <w:lang w:eastAsia="en-GB"/>
              </w:rPr>
            </w:pPr>
          </w:p>
        </w:tc>
      </w:tr>
    </w:tbl>
    <w:p w14:paraId="17BD549E" w14:textId="77777777" w:rsidR="00C80C63" w:rsidRPr="003A3E09" w:rsidRDefault="00C80C63" w:rsidP="00E92A86">
      <w:pPr>
        <w:rPr>
          <w:rFonts w:ascii="Verdana" w:hAnsi="Verdana"/>
          <w:b/>
          <w:sz w:val="24"/>
          <w:szCs w:val="24"/>
        </w:rPr>
      </w:pPr>
    </w:p>
    <w:sectPr w:rsidR="00C80C63" w:rsidRPr="003A3E09" w:rsidSect="00E3198D">
      <w:headerReference w:type="default" r:id="rId11"/>
      <w:pgSz w:w="12240" w:h="15840"/>
      <w:pgMar w:top="1440" w:right="1440" w:bottom="709"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6E4A1" w14:textId="77777777" w:rsidR="00C340BA" w:rsidRDefault="00C340BA" w:rsidP="00C13029">
      <w:pPr>
        <w:spacing w:after="0" w:line="240" w:lineRule="auto"/>
      </w:pPr>
      <w:r>
        <w:separator/>
      </w:r>
    </w:p>
  </w:endnote>
  <w:endnote w:type="continuationSeparator" w:id="0">
    <w:p w14:paraId="60D49449" w14:textId="77777777" w:rsidR="00C340BA" w:rsidRDefault="00C340BA" w:rsidP="00C1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CCC5" w14:textId="77777777" w:rsidR="00C340BA" w:rsidRDefault="00C340BA" w:rsidP="00C13029">
      <w:pPr>
        <w:spacing w:after="0" w:line="240" w:lineRule="auto"/>
      </w:pPr>
      <w:r>
        <w:separator/>
      </w:r>
    </w:p>
  </w:footnote>
  <w:footnote w:type="continuationSeparator" w:id="0">
    <w:p w14:paraId="15611675" w14:textId="77777777" w:rsidR="00C340BA" w:rsidRDefault="00C340BA" w:rsidP="00C13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FBC7" w14:textId="77777777" w:rsidR="00C13029" w:rsidRDefault="00C13029" w:rsidP="00C13029">
    <w:pPr>
      <w:pStyle w:val="Header"/>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E0D48"/>
    <w:multiLevelType w:val="hybridMultilevel"/>
    <w:tmpl w:val="945C387C"/>
    <w:lvl w:ilvl="0" w:tplc="5F8047D2">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371EC"/>
    <w:rsid w:val="0002267F"/>
    <w:rsid w:val="000508EC"/>
    <w:rsid w:val="00061F21"/>
    <w:rsid w:val="00065CCB"/>
    <w:rsid w:val="000F1D0F"/>
    <w:rsid w:val="000F2863"/>
    <w:rsid w:val="000F3834"/>
    <w:rsid w:val="00106501"/>
    <w:rsid w:val="0010788C"/>
    <w:rsid w:val="00122A63"/>
    <w:rsid w:val="00126A98"/>
    <w:rsid w:val="00127A90"/>
    <w:rsid w:val="0017157A"/>
    <w:rsid w:val="001A765D"/>
    <w:rsid w:val="001B7C57"/>
    <w:rsid w:val="001E5C3F"/>
    <w:rsid w:val="00213313"/>
    <w:rsid w:val="00215CEB"/>
    <w:rsid w:val="0022767C"/>
    <w:rsid w:val="00232B41"/>
    <w:rsid w:val="002543E2"/>
    <w:rsid w:val="00257505"/>
    <w:rsid w:val="002C0708"/>
    <w:rsid w:val="00333267"/>
    <w:rsid w:val="00350A04"/>
    <w:rsid w:val="00365902"/>
    <w:rsid w:val="0037190B"/>
    <w:rsid w:val="003A3E09"/>
    <w:rsid w:val="003B78FA"/>
    <w:rsid w:val="003D3D20"/>
    <w:rsid w:val="003F3F2F"/>
    <w:rsid w:val="004013EE"/>
    <w:rsid w:val="004041D0"/>
    <w:rsid w:val="00425952"/>
    <w:rsid w:val="00487DCC"/>
    <w:rsid w:val="00496797"/>
    <w:rsid w:val="004C13D8"/>
    <w:rsid w:val="00507447"/>
    <w:rsid w:val="00511A41"/>
    <w:rsid w:val="00514414"/>
    <w:rsid w:val="00553CFC"/>
    <w:rsid w:val="005D7DE7"/>
    <w:rsid w:val="00613AC2"/>
    <w:rsid w:val="006210B3"/>
    <w:rsid w:val="00661440"/>
    <w:rsid w:val="00683E5F"/>
    <w:rsid w:val="00693260"/>
    <w:rsid w:val="006A5766"/>
    <w:rsid w:val="006D2C8A"/>
    <w:rsid w:val="006D699E"/>
    <w:rsid w:val="006F4722"/>
    <w:rsid w:val="00723F42"/>
    <w:rsid w:val="007258F3"/>
    <w:rsid w:val="00725FE4"/>
    <w:rsid w:val="0074507D"/>
    <w:rsid w:val="00765036"/>
    <w:rsid w:val="007765A3"/>
    <w:rsid w:val="007A1462"/>
    <w:rsid w:val="007A3F79"/>
    <w:rsid w:val="007A4658"/>
    <w:rsid w:val="007B511A"/>
    <w:rsid w:val="007E7AE9"/>
    <w:rsid w:val="00801162"/>
    <w:rsid w:val="00805D14"/>
    <w:rsid w:val="0081258C"/>
    <w:rsid w:val="009070B3"/>
    <w:rsid w:val="00926937"/>
    <w:rsid w:val="00931D0C"/>
    <w:rsid w:val="00932D62"/>
    <w:rsid w:val="009371EC"/>
    <w:rsid w:val="00981371"/>
    <w:rsid w:val="00984F9D"/>
    <w:rsid w:val="00996ACC"/>
    <w:rsid w:val="009A03A4"/>
    <w:rsid w:val="009A2F52"/>
    <w:rsid w:val="009D5C51"/>
    <w:rsid w:val="00A54035"/>
    <w:rsid w:val="00A663AC"/>
    <w:rsid w:val="00A83AF8"/>
    <w:rsid w:val="00AA2B39"/>
    <w:rsid w:val="00AB679F"/>
    <w:rsid w:val="00AC79DC"/>
    <w:rsid w:val="00B03D4A"/>
    <w:rsid w:val="00B10323"/>
    <w:rsid w:val="00B12258"/>
    <w:rsid w:val="00B30A44"/>
    <w:rsid w:val="00B33BAF"/>
    <w:rsid w:val="00B6362C"/>
    <w:rsid w:val="00B7687F"/>
    <w:rsid w:val="00BA48EF"/>
    <w:rsid w:val="00BF1D22"/>
    <w:rsid w:val="00C0126F"/>
    <w:rsid w:val="00C13029"/>
    <w:rsid w:val="00C340BA"/>
    <w:rsid w:val="00C80C63"/>
    <w:rsid w:val="00C93C5F"/>
    <w:rsid w:val="00CD0604"/>
    <w:rsid w:val="00CE2761"/>
    <w:rsid w:val="00CE64F6"/>
    <w:rsid w:val="00D070D1"/>
    <w:rsid w:val="00D3483A"/>
    <w:rsid w:val="00D34E3F"/>
    <w:rsid w:val="00DA68F3"/>
    <w:rsid w:val="00E17E95"/>
    <w:rsid w:val="00E24521"/>
    <w:rsid w:val="00E3198D"/>
    <w:rsid w:val="00E42C96"/>
    <w:rsid w:val="00E51B4B"/>
    <w:rsid w:val="00E55349"/>
    <w:rsid w:val="00E92A86"/>
    <w:rsid w:val="00EA4920"/>
    <w:rsid w:val="00EA7C26"/>
    <w:rsid w:val="00ED68A9"/>
    <w:rsid w:val="00F0589F"/>
    <w:rsid w:val="00F27CBB"/>
    <w:rsid w:val="00F44967"/>
    <w:rsid w:val="00F97C25"/>
    <w:rsid w:val="00FB3E8C"/>
    <w:rsid w:val="00FB7E99"/>
    <w:rsid w:val="00FD0B88"/>
    <w:rsid w:val="00FD3187"/>
    <w:rsid w:val="00FF10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634F8"/>
  <w15:docId w15:val="{9F4E2E18-1B4A-4460-BC8F-E9047C3E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4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029"/>
    <w:pPr>
      <w:tabs>
        <w:tab w:val="center" w:pos="4513"/>
        <w:tab w:val="right" w:pos="9026"/>
      </w:tabs>
    </w:pPr>
  </w:style>
  <w:style w:type="character" w:customStyle="1" w:styleId="HeaderChar">
    <w:name w:val="Header Char"/>
    <w:basedOn w:val="DefaultParagraphFont"/>
    <w:link w:val="Header"/>
    <w:uiPriority w:val="99"/>
    <w:rsid w:val="00C13029"/>
    <w:rPr>
      <w:sz w:val="22"/>
      <w:szCs w:val="22"/>
      <w:lang w:eastAsia="en-US"/>
    </w:rPr>
  </w:style>
  <w:style w:type="paragraph" w:styleId="Footer">
    <w:name w:val="footer"/>
    <w:basedOn w:val="Normal"/>
    <w:link w:val="FooterChar"/>
    <w:uiPriority w:val="99"/>
    <w:unhideWhenUsed/>
    <w:rsid w:val="00C13029"/>
    <w:pPr>
      <w:tabs>
        <w:tab w:val="center" w:pos="4513"/>
        <w:tab w:val="right" w:pos="9026"/>
      </w:tabs>
    </w:pPr>
  </w:style>
  <w:style w:type="character" w:customStyle="1" w:styleId="FooterChar">
    <w:name w:val="Footer Char"/>
    <w:basedOn w:val="DefaultParagraphFont"/>
    <w:link w:val="Footer"/>
    <w:uiPriority w:val="99"/>
    <w:rsid w:val="00C13029"/>
    <w:rPr>
      <w:sz w:val="22"/>
      <w:szCs w:val="22"/>
      <w:lang w:eastAsia="en-US"/>
    </w:rPr>
  </w:style>
  <w:style w:type="paragraph" w:styleId="FootnoteText">
    <w:name w:val="footnote text"/>
    <w:basedOn w:val="Normal"/>
    <w:link w:val="FootnoteTextChar"/>
    <w:uiPriority w:val="99"/>
    <w:semiHidden/>
    <w:unhideWhenUsed/>
    <w:rsid w:val="007B511A"/>
    <w:rPr>
      <w:sz w:val="20"/>
      <w:szCs w:val="20"/>
    </w:rPr>
  </w:style>
  <w:style w:type="character" w:customStyle="1" w:styleId="FootnoteTextChar">
    <w:name w:val="Footnote Text Char"/>
    <w:basedOn w:val="DefaultParagraphFont"/>
    <w:link w:val="FootnoteText"/>
    <w:uiPriority w:val="99"/>
    <w:semiHidden/>
    <w:rsid w:val="007B511A"/>
    <w:rPr>
      <w:lang w:eastAsia="en-US"/>
    </w:rPr>
  </w:style>
  <w:style w:type="character" w:styleId="FootnoteReference">
    <w:name w:val="footnote reference"/>
    <w:basedOn w:val="DefaultParagraphFont"/>
    <w:uiPriority w:val="99"/>
    <w:semiHidden/>
    <w:unhideWhenUsed/>
    <w:rsid w:val="007B511A"/>
    <w:rPr>
      <w:vertAlign w:val="superscript"/>
    </w:rPr>
  </w:style>
  <w:style w:type="character" w:styleId="Strong">
    <w:name w:val="Strong"/>
    <w:uiPriority w:val="22"/>
    <w:qFormat/>
    <w:rsid w:val="00CD0604"/>
    <w:rPr>
      <w:b/>
      <w:bCs/>
    </w:rPr>
  </w:style>
  <w:style w:type="paragraph" w:customStyle="1" w:styleId="Tabletext9">
    <w:name w:val="Table text (9)"/>
    <w:basedOn w:val="Normal"/>
    <w:rsid w:val="004C13D8"/>
    <w:pPr>
      <w:spacing w:before="60" w:after="60" w:line="210" w:lineRule="atLeast"/>
      <w:jc w:val="both"/>
    </w:pPr>
    <w:rPr>
      <w:rFonts w:ascii="Arial" w:eastAsia="MS Mincho" w:hAnsi="Arial"/>
      <w:sz w:val="18"/>
      <w:szCs w:val="20"/>
      <w:lang w:eastAsia="fr-FR"/>
    </w:rPr>
  </w:style>
  <w:style w:type="paragraph" w:styleId="BalloonText">
    <w:name w:val="Balloon Text"/>
    <w:basedOn w:val="Normal"/>
    <w:link w:val="BalloonTextChar"/>
    <w:uiPriority w:val="99"/>
    <w:semiHidden/>
    <w:unhideWhenUsed/>
    <w:rsid w:val="00D07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0D1"/>
    <w:rPr>
      <w:rFonts w:ascii="Tahoma" w:hAnsi="Tahoma" w:cs="Tahoma"/>
      <w:sz w:val="16"/>
      <w:szCs w:val="16"/>
      <w:lang w:eastAsia="en-US"/>
    </w:rPr>
  </w:style>
  <w:style w:type="paragraph" w:customStyle="1" w:styleId="Note">
    <w:name w:val="Note"/>
    <w:basedOn w:val="Normal"/>
    <w:rsid w:val="00C80C63"/>
    <w:pPr>
      <w:tabs>
        <w:tab w:val="left" w:pos="965"/>
      </w:tabs>
      <w:spacing w:after="240" w:line="220" w:lineRule="atLeast"/>
      <w:jc w:val="both"/>
    </w:pPr>
    <w:rPr>
      <w:rFonts w:ascii="Cambria" w:hAnsi="Cambria"/>
      <w:sz w:val="20"/>
    </w:rPr>
  </w:style>
  <w:style w:type="paragraph" w:customStyle="1" w:styleId="Tabletitle">
    <w:name w:val="Table title"/>
    <w:basedOn w:val="Normal"/>
    <w:link w:val="TabletitleChar"/>
    <w:rsid w:val="00C80C63"/>
    <w:pPr>
      <w:suppressAutoHyphens/>
      <w:spacing w:before="120" w:after="120" w:line="240" w:lineRule="atLeast"/>
      <w:jc w:val="center"/>
    </w:pPr>
    <w:rPr>
      <w:rFonts w:ascii="Cambria" w:hAnsi="Cambria"/>
      <w:b/>
    </w:rPr>
  </w:style>
  <w:style w:type="paragraph" w:customStyle="1" w:styleId="Tablebody">
    <w:name w:val="Table body"/>
    <w:basedOn w:val="Normal"/>
    <w:rsid w:val="00C80C63"/>
    <w:pPr>
      <w:spacing w:before="60" w:after="60" w:line="210" w:lineRule="atLeast"/>
    </w:pPr>
    <w:rPr>
      <w:rFonts w:ascii="Cambria" w:hAnsi="Cambria"/>
      <w:sz w:val="20"/>
    </w:rPr>
  </w:style>
  <w:style w:type="paragraph" w:customStyle="1" w:styleId="Tableheader">
    <w:name w:val="Table header"/>
    <w:basedOn w:val="Tablebody"/>
    <w:rsid w:val="00C80C63"/>
  </w:style>
  <w:style w:type="paragraph" w:styleId="BodyText">
    <w:name w:val="Body Text"/>
    <w:basedOn w:val="Normal"/>
    <w:link w:val="BodyTextChar"/>
    <w:uiPriority w:val="99"/>
    <w:unhideWhenUsed/>
    <w:rsid w:val="00C80C63"/>
    <w:pPr>
      <w:spacing w:after="120" w:line="240" w:lineRule="atLeast"/>
      <w:jc w:val="both"/>
    </w:pPr>
    <w:rPr>
      <w:rFonts w:ascii="Cambria" w:hAnsi="Cambria"/>
    </w:rPr>
  </w:style>
  <w:style w:type="character" w:customStyle="1" w:styleId="BodyTextChar">
    <w:name w:val="Body Text Char"/>
    <w:basedOn w:val="DefaultParagraphFont"/>
    <w:link w:val="BodyText"/>
    <w:uiPriority w:val="99"/>
    <w:rsid w:val="00C80C63"/>
    <w:rPr>
      <w:rFonts w:ascii="Cambria" w:hAnsi="Cambria"/>
      <w:sz w:val="22"/>
      <w:szCs w:val="22"/>
      <w:lang w:eastAsia="en-US"/>
    </w:rPr>
  </w:style>
  <w:style w:type="character" w:customStyle="1" w:styleId="TabletitleChar">
    <w:name w:val="Table title Char"/>
    <w:basedOn w:val="DefaultParagraphFont"/>
    <w:link w:val="Tabletitle"/>
    <w:rsid w:val="00C80C63"/>
    <w:rPr>
      <w:rFonts w:ascii="Cambria" w:hAnsi="Cambria"/>
      <w:b/>
      <w:sz w:val="22"/>
      <w:szCs w:val="22"/>
      <w:lang w:eastAsia="en-US"/>
    </w:rPr>
  </w:style>
  <w:style w:type="character" w:styleId="CommentReference">
    <w:name w:val="annotation reference"/>
    <w:basedOn w:val="DefaultParagraphFont"/>
    <w:uiPriority w:val="99"/>
    <w:semiHidden/>
    <w:unhideWhenUsed/>
    <w:rsid w:val="001E5C3F"/>
    <w:rPr>
      <w:sz w:val="16"/>
      <w:szCs w:val="16"/>
    </w:rPr>
  </w:style>
  <w:style w:type="paragraph" w:styleId="CommentText">
    <w:name w:val="annotation text"/>
    <w:basedOn w:val="Normal"/>
    <w:link w:val="CommentTextChar"/>
    <w:uiPriority w:val="99"/>
    <w:semiHidden/>
    <w:unhideWhenUsed/>
    <w:rsid w:val="001E5C3F"/>
    <w:pPr>
      <w:spacing w:line="240" w:lineRule="auto"/>
    </w:pPr>
    <w:rPr>
      <w:sz w:val="20"/>
      <w:szCs w:val="20"/>
    </w:rPr>
  </w:style>
  <w:style w:type="character" w:customStyle="1" w:styleId="CommentTextChar">
    <w:name w:val="Comment Text Char"/>
    <w:basedOn w:val="DefaultParagraphFont"/>
    <w:link w:val="CommentText"/>
    <w:uiPriority w:val="99"/>
    <w:semiHidden/>
    <w:rsid w:val="001E5C3F"/>
    <w:rPr>
      <w:lang w:eastAsia="en-US"/>
    </w:rPr>
  </w:style>
  <w:style w:type="paragraph" w:styleId="CommentSubject">
    <w:name w:val="annotation subject"/>
    <w:basedOn w:val="CommentText"/>
    <w:next w:val="CommentText"/>
    <w:link w:val="CommentSubjectChar"/>
    <w:uiPriority w:val="99"/>
    <w:semiHidden/>
    <w:unhideWhenUsed/>
    <w:rsid w:val="001E5C3F"/>
    <w:rPr>
      <w:b/>
      <w:bCs/>
    </w:rPr>
  </w:style>
  <w:style w:type="character" w:customStyle="1" w:styleId="CommentSubjectChar">
    <w:name w:val="Comment Subject Char"/>
    <w:basedOn w:val="CommentTextChar"/>
    <w:link w:val="CommentSubject"/>
    <w:uiPriority w:val="99"/>
    <w:semiHidden/>
    <w:rsid w:val="001E5C3F"/>
    <w:rPr>
      <w:b/>
      <w:bCs/>
      <w:lang w:eastAsia="en-US"/>
    </w:rPr>
  </w:style>
  <w:style w:type="paragraph" w:styleId="NoSpacing">
    <w:name w:val="No Spacing"/>
    <w:uiPriority w:val="1"/>
    <w:qFormat/>
    <w:rsid w:val="00CE276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19787">
      <w:bodyDiv w:val="1"/>
      <w:marLeft w:val="0"/>
      <w:marRight w:val="0"/>
      <w:marTop w:val="0"/>
      <w:marBottom w:val="0"/>
      <w:divBdr>
        <w:top w:val="none" w:sz="0" w:space="0" w:color="auto"/>
        <w:left w:val="none" w:sz="0" w:space="0" w:color="auto"/>
        <w:bottom w:val="none" w:sz="0" w:space="0" w:color="auto"/>
        <w:right w:val="none" w:sz="0" w:space="0" w:color="auto"/>
      </w:divBdr>
    </w:div>
    <w:div w:id="2045862266">
      <w:bodyDiv w:val="1"/>
      <w:marLeft w:val="0"/>
      <w:marRight w:val="0"/>
      <w:marTop w:val="0"/>
      <w:marBottom w:val="0"/>
      <w:divBdr>
        <w:top w:val="none" w:sz="0" w:space="0" w:color="auto"/>
        <w:left w:val="none" w:sz="0" w:space="0" w:color="auto"/>
        <w:bottom w:val="none" w:sz="0" w:space="0" w:color="auto"/>
        <w:right w:val="none" w:sz="0" w:space="0" w:color="auto"/>
      </w:divBdr>
    </w:div>
    <w:div w:id="205522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8DD5A-2BB8-4F9E-B290-D1A10BD6D465}">
  <ds:schemaRefs>
    <ds:schemaRef ds:uri="http://schemas.microsoft.com/office/2006/metadata/properties"/>
  </ds:schemaRefs>
</ds:datastoreItem>
</file>

<file path=customXml/itemProps2.xml><?xml version="1.0" encoding="utf-8"?>
<ds:datastoreItem xmlns:ds="http://schemas.openxmlformats.org/officeDocument/2006/customXml" ds:itemID="{A57A437F-D85C-4D43-8C5F-BF82676D8CBA}">
  <ds:schemaRefs>
    <ds:schemaRef ds:uri="http://schemas.microsoft.com/sharepoint/v3/contenttype/forms"/>
  </ds:schemaRefs>
</ds:datastoreItem>
</file>

<file path=customXml/itemProps3.xml><?xml version="1.0" encoding="utf-8"?>
<ds:datastoreItem xmlns:ds="http://schemas.openxmlformats.org/officeDocument/2006/customXml" ds:itemID="{0A9E3770-9B0B-4B48-919C-32667A8CE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57D75AA-0B92-46E6-B491-5E363B1D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1074</Words>
  <Characters>6128</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 ZA proposed by EC_2015-05-29_transferred to WORD and formatted</vt:lpstr>
      <vt:lpstr>Annex ZA proposed by EC_2015-05-29_transferred to WORD and formatted</vt:lpstr>
    </vt:vector>
  </TitlesOfParts>
  <Company>CENCENELEC</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ZA proposed by EC_2015-05-29_transferred to WORD and formatted</dc:title>
  <dc:subject>1 step to new LVD Annex ZA</dc:subject>
  <dc:creator>Jens Erdmann</dc:creator>
  <dc:description>afnor - validé</dc:description>
  <cp:lastModifiedBy>Vandriessche Sophie</cp:lastModifiedBy>
  <cp:revision>8</cp:revision>
  <cp:lastPrinted>2021-06-01T08:37:00Z</cp:lastPrinted>
  <dcterms:created xsi:type="dcterms:W3CDTF">2022-02-04T08:59:00Z</dcterms:created>
  <dcterms:modified xsi:type="dcterms:W3CDTF">2022-04-03T14:13:00Z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